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D" w:rsidRDefault="00483DD9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PHASES"/>
      <w:bookmarkStart w:id="5" w:name="TBLOPTION"/>
      <w:bookmarkStart w:id="6" w:name="LIGOPTION"/>
      <w:bookmarkStart w:id="7" w:name="E_LIGPHA"/>
      <w:bookmarkStart w:id="8" w:name="E_TBLPHA"/>
      <w:bookmarkStart w:id="9" w:name="ANNEXE_SST"/>
      <w:bookmarkStart w:id="10" w:name="MODELE"/>
      <w:bookmarkStart w:id="11" w:name="_GoBack"/>
      <w:bookmarkEnd w:id="11"/>
      <w:r>
        <w:rPr>
          <w:rFonts w:ascii="Arial" w:hAnsi="Arial" w:cs="Arial"/>
          <w:b/>
          <w:bCs/>
          <w:sz w:val="24"/>
          <w:szCs w:val="24"/>
        </w:rPr>
        <w:t>M</w:t>
      </w:r>
      <w:r w:rsidR="008B428D">
        <w:rPr>
          <w:rFonts w:ascii="Arial" w:hAnsi="Arial" w:cs="Arial"/>
          <w:b/>
          <w:bCs/>
          <w:sz w:val="24"/>
          <w:szCs w:val="24"/>
        </w:rPr>
        <w:t>ARCHES PUBLICS DE FOURNITURES COURANTES ET SERVICES</w:t>
      </w:r>
    </w:p>
    <w:p w:rsidR="008B428D" w:rsidRDefault="008B428D">
      <w:pPr>
        <w:widowControl/>
        <w:rPr>
          <w:rFonts w:ascii="Arial" w:hAnsi="Arial" w:cs="Arial"/>
          <w:b/>
          <w:bCs/>
        </w:rPr>
      </w:pPr>
    </w:p>
    <w:p w:rsidR="008B428D" w:rsidRDefault="008B428D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Arial" w:hAnsi="Arial" w:cs="Arial"/>
          <w:b/>
          <w:bCs/>
        </w:rPr>
      </w:pPr>
    </w:p>
    <w:p w:rsidR="008B428D" w:rsidRDefault="008B428D">
      <w:pPr>
        <w:pStyle w:val="RedNomDoc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</w:pPr>
      <w:r>
        <w:t xml:space="preserve">ACTE D'ENGAGEMENT </w:t>
      </w:r>
    </w:p>
    <w:p w:rsidR="008B428D" w:rsidRDefault="008B428D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Arial" w:hAnsi="Arial" w:cs="Arial"/>
          <w:b/>
          <w:bCs/>
        </w:rPr>
      </w:pPr>
    </w:p>
    <w:p w:rsidR="00500334" w:rsidRDefault="00500334">
      <w:pPr>
        <w:widowControl/>
        <w:rPr>
          <w:rFonts w:ascii="Arial" w:hAnsi="Arial" w:cs="Arial"/>
          <w:b/>
          <w:bCs/>
        </w:rPr>
      </w:pPr>
    </w:p>
    <w:p w:rsidR="008B428D" w:rsidRDefault="008B428D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FFFFFF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A- Objet de l'accord-cadre</w:t>
      </w:r>
    </w:p>
    <w:p w:rsidR="008B428D" w:rsidRDefault="008B428D">
      <w:pPr>
        <w:widowControl/>
        <w:rPr>
          <w:rFonts w:ascii="Arial" w:hAnsi="Arial" w:cs="Arial"/>
          <w:b/>
          <w:bCs/>
        </w:rPr>
      </w:pPr>
    </w:p>
    <w:p w:rsidR="00D91BA8" w:rsidRDefault="00D91BA8">
      <w:pPr>
        <w:widowControl/>
        <w:rPr>
          <w:rFonts w:ascii="Arial" w:hAnsi="Arial" w:cs="Arial"/>
          <w:b/>
          <w:bCs/>
        </w:rPr>
      </w:pPr>
    </w:p>
    <w:p w:rsidR="008B428D" w:rsidRPr="00C13C19" w:rsidRDefault="00C13C19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Affaire n°2</w:t>
      </w:r>
      <w:r w:rsidR="00330DEF">
        <w:rPr>
          <w:rFonts w:ascii="Arial" w:hAnsi="Arial" w:cs="Arial"/>
          <w:b/>
          <w:bCs/>
          <w:sz w:val="22"/>
          <w:szCs w:val="22"/>
        </w:rPr>
        <w:t>5HA0030</w:t>
      </w:r>
      <w:r w:rsidR="00343295">
        <w:rPr>
          <w:rFonts w:ascii="Arial" w:hAnsi="Arial" w:cs="Arial"/>
          <w:b/>
          <w:bCs/>
          <w:sz w:val="22"/>
          <w:szCs w:val="22"/>
        </w:rPr>
        <w:t xml:space="preserve"> – </w:t>
      </w:r>
      <w:bookmarkStart w:id="12" w:name="ObjLot"/>
      <w:r w:rsidR="00330DEF" w:rsidRPr="00330DEF">
        <w:rPr>
          <w:rFonts w:ascii="Arial" w:hAnsi="Arial" w:cs="Arial"/>
          <w:b/>
          <w:bCs/>
          <w:sz w:val="22"/>
          <w:szCs w:val="22"/>
        </w:rPr>
        <w:t>Prestation de transports d’équipes chirurgicales, transports d’organes et de greffes et/ou matériels lors des prélèvements et transports d’enfants AFT</w:t>
      </w:r>
    </w:p>
    <w:bookmarkEnd w:id="12"/>
    <w:p w:rsidR="008B428D" w:rsidRPr="00C13C19" w:rsidRDefault="008B428D">
      <w:pPr>
        <w:widowControl/>
        <w:rPr>
          <w:rFonts w:ascii="Arial" w:hAnsi="Arial" w:cs="Arial"/>
        </w:rPr>
      </w:pPr>
    </w:p>
    <w:p w:rsidR="00A5268C" w:rsidRDefault="00C13C19" w:rsidP="00C13C19">
      <w:pPr>
        <w:widowControl/>
        <w:rPr>
          <w:rFonts w:ascii="Arial" w:hAnsi="Arial" w:cs="Arial"/>
          <w:sz w:val="18"/>
          <w:szCs w:val="18"/>
        </w:rPr>
      </w:pPr>
      <w:r w:rsidRPr="00C13C19">
        <w:rPr>
          <w:rFonts w:ascii="Arial" w:hAnsi="Arial" w:cs="Arial"/>
          <w:sz w:val="18"/>
          <w:szCs w:val="18"/>
        </w:rPr>
        <w:t>Appel d'offres ouvert en application des articles R2161-2 à R2161-5 du Code de la commande publique</w:t>
      </w:r>
      <w:r w:rsidR="005C0549">
        <w:rPr>
          <w:rFonts w:ascii="Arial" w:hAnsi="Arial" w:cs="Arial"/>
          <w:sz w:val="18"/>
          <w:szCs w:val="18"/>
        </w:rPr>
        <w:t>.</w:t>
      </w:r>
    </w:p>
    <w:p w:rsidR="00D91BA8" w:rsidRDefault="00D91BA8">
      <w:pPr>
        <w:widowControl/>
        <w:rPr>
          <w:rFonts w:ascii="Arial" w:hAnsi="Arial" w:cs="Arial"/>
          <w:sz w:val="18"/>
          <w:szCs w:val="18"/>
        </w:rPr>
      </w:pPr>
    </w:p>
    <w:p w:rsidR="00500334" w:rsidRDefault="00500334">
      <w:pPr>
        <w:widowControl/>
        <w:rPr>
          <w:rFonts w:ascii="Arial" w:hAnsi="Arial" w:cs="Arial"/>
          <w:sz w:val="18"/>
          <w:szCs w:val="18"/>
        </w:rPr>
      </w:pPr>
    </w:p>
    <w:p w:rsidR="008B428D" w:rsidRDefault="008B428D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FFFFFF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B- Identification du pouvoir adjudicateur</w:t>
      </w:r>
    </w:p>
    <w:p w:rsidR="008B428D" w:rsidRDefault="008B428D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D91BA8" w:rsidRDefault="00D91BA8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8B428D" w:rsidRPr="00A57195" w:rsidRDefault="004B463C">
      <w:pPr>
        <w:widowControl/>
        <w:rPr>
          <w:rFonts w:ascii="Arial" w:hAnsi="Arial" w:cs="Arial"/>
          <w:sz w:val="22"/>
          <w:szCs w:val="22"/>
        </w:rPr>
      </w:pPr>
      <w:r w:rsidRPr="00A57195">
        <w:rPr>
          <w:rFonts w:ascii="Arial" w:hAnsi="Arial" w:cs="Arial"/>
          <w:b/>
          <w:bCs/>
          <w:sz w:val="22"/>
          <w:szCs w:val="22"/>
        </w:rPr>
        <w:t>Pouvoir adjudicateur</w:t>
      </w:r>
      <w:r w:rsidR="00CA583A" w:rsidRPr="00A57195">
        <w:rPr>
          <w:rFonts w:ascii="Arial" w:hAnsi="Arial" w:cs="Arial"/>
          <w:b/>
          <w:bCs/>
          <w:sz w:val="22"/>
          <w:szCs w:val="22"/>
        </w:rPr>
        <w:t xml:space="preserve"> : </w:t>
      </w:r>
      <w:r w:rsidR="00F80968" w:rsidRPr="00A57195">
        <w:rPr>
          <w:rFonts w:ascii="Arial" w:hAnsi="Arial" w:cs="Arial"/>
          <w:sz w:val="22"/>
          <w:szCs w:val="22"/>
        </w:rPr>
        <w:t>CHU d’AMIENS PICARDIE</w:t>
      </w:r>
      <w:r w:rsidR="005C0549" w:rsidRPr="00A57195">
        <w:rPr>
          <w:rFonts w:ascii="Arial" w:hAnsi="Arial" w:cs="Arial"/>
          <w:sz w:val="22"/>
          <w:szCs w:val="22"/>
        </w:rPr>
        <w:t xml:space="preserve"> (Etablissement support)</w:t>
      </w:r>
      <w:r w:rsidR="00F80968" w:rsidRPr="00A57195">
        <w:rPr>
          <w:rFonts w:ascii="Arial" w:hAnsi="Arial" w:cs="Arial"/>
          <w:sz w:val="22"/>
          <w:szCs w:val="22"/>
        </w:rPr>
        <w:tab/>
      </w:r>
    </w:p>
    <w:p w:rsidR="00296160" w:rsidRPr="00A57195" w:rsidRDefault="00296160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296160" w:rsidRPr="00A57195" w:rsidRDefault="006B4FFE">
      <w:pPr>
        <w:widowControl/>
        <w:rPr>
          <w:rFonts w:ascii="Arial" w:hAnsi="Arial" w:cs="Arial"/>
        </w:rPr>
      </w:pPr>
      <w:r w:rsidRPr="00A57195">
        <w:rPr>
          <w:rFonts w:ascii="Arial" w:hAnsi="Arial" w:cs="Arial"/>
          <w:b/>
          <w:sz w:val="22"/>
        </w:rPr>
        <w:t>Adresse</w:t>
      </w:r>
      <w:r w:rsidR="001270A3" w:rsidRPr="00A57195">
        <w:rPr>
          <w:rFonts w:ascii="Arial" w:hAnsi="Arial" w:cs="Arial"/>
        </w:rPr>
        <w:tab/>
      </w:r>
      <w:r w:rsidR="001270A3" w:rsidRPr="00A57195">
        <w:rPr>
          <w:rFonts w:ascii="Arial" w:hAnsi="Arial" w:cs="Arial"/>
        </w:rPr>
        <w:tab/>
      </w:r>
      <w:r w:rsidR="001270A3" w:rsidRPr="00A57195">
        <w:rPr>
          <w:rFonts w:ascii="Arial" w:hAnsi="Arial" w:cs="Arial"/>
        </w:rPr>
        <w:tab/>
        <w:t xml:space="preserve">                    </w:t>
      </w:r>
      <w:r w:rsidR="001270A3" w:rsidRPr="00A57195">
        <w:rPr>
          <w:rFonts w:ascii="Arial" w:hAnsi="Arial" w:cs="Arial"/>
        </w:rPr>
        <w:tab/>
      </w:r>
    </w:p>
    <w:p w:rsidR="00F80968" w:rsidRPr="00A57195" w:rsidRDefault="00296160">
      <w:pPr>
        <w:widowControl/>
        <w:rPr>
          <w:rFonts w:ascii="Arial" w:hAnsi="Arial" w:cs="Arial"/>
        </w:rPr>
      </w:pPr>
      <w:r w:rsidRPr="00A57195">
        <w:rPr>
          <w:rFonts w:ascii="Arial" w:hAnsi="Arial" w:cs="Arial"/>
        </w:rPr>
        <w:t>CHU d’AMIENS PICARDIE</w:t>
      </w:r>
      <w:r w:rsidR="001270A3" w:rsidRPr="00A57195">
        <w:rPr>
          <w:rFonts w:ascii="Arial" w:hAnsi="Arial" w:cs="Arial"/>
        </w:rPr>
        <w:tab/>
      </w:r>
      <w:r w:rsidR="001270A3" w:rsidRPr="00A57195">
        <w:rPr>
          <w:rFonts w:ascii="Arial" w:hAnsi="Arial" w:cs="Arial"/>
        </w:rPr>
        <w:tab/>
      </w:r>
      <w:r w:rsidR="006B4FFE" w:rsidRPr="00A57195">
        <w:rPr>
          <w:rFonts w:ascii="Arial" w:hAnsi="Arial" w:cs="Arial"/>
        </w:rPr>
        <w:t xml:space="preserve"> </w:t>
      </w:r>
      <w:r w:rsidR="001270A3" w:rsidRPr="00A57195">
        <w:rPr>
          <w:rFonts w:ascii="Arial" w:hAnsi="Arial" w:cs="Arial"/>
        </w:rPr>
        <w:tab/>
      </w:r>
      <w:r w:rsidR="001270A3" w:rsidRPr="00A57195">
        <w:rPr>
          <w:rFonts w:ascii="Arial" w:hAnsi="Arial" w:cs="Arial"/>
        </w:rPr>
        <w:tab/>
      </w:r>
      <w:r w:rsidR="001270A3" w:rsidRPr="00A57195">
        <w:rPr>
          <w:rFonts w:ascii="Arial" w:hAnsi="Arial" w:cs="Arial"/>
        </w:rPr>
        <w:tab/>
        <w:t xml:space="preserve">                    </w:t>
      </w:r>
    </w:p>
    <w:p w:rsidR="001270A3" w:rsidRPr="00A57195" w:rsidRDefault="00330DEF" w:rsidP="001270A3">
      <w:pPr>
        <w:widowControl/>
        <w:rPr>
          <w:rFonts w:ascii="Arial" w:hAnsi="Arial" w:cs="Arial"/>
          <w:b/>
        </w:rPr>
      </w:pPr>
      <w:r>
        <w:rPr>
          <w:rFonts w:ascii="Arial" w:hAnsi="Arial" w:cs="Arial"/>
        </w:rPr>
        <w:t>1 rond-point du Professeur Christian Cabrol</w:t>
      </w:r>
      <w:r w:rsidR="00296160" w:rsidRPr="00A57195">
        <w:rPr>
          <w:rFonts w:ascii="Arial" w:hAnsi="Arial" w:cs="Arial"/>
        </w:rPr>
        <w:tab/>
      </w:r>
      <w:r w:rsidR="00296160" w:rsidRPr="00A57195">
        <w:rPr>
          <w:rFonts w:ascii="Arial" w:hAnsi="Arial" w:cs="Arial"/>
        </w:rPr>
        <w:tab/>
      </w:r>
      <w:r w:rsidR="00296160" w:rsidRPr="00A57195">
        <w:rPr>
          <w:rFonts w:ascii="Arial" w:hAnsi="Arial" w:cs="Arial"/>
        </w:rPr>
        <w:tab/>
      </w:r>
      <w:r w:rsidR="00296160" w:rsidRPr="00A57195">
        <w:rPr>
          <w:rFonts w:ascii="Arial" w:hAnsi="Arial" w:cs="Arial"/>
        </w:rPr>
        <w:tab/>
      </w:r>
      <w:r w:rsidR="00296160" w:rsidRPr="00A57195">
        <w:rPr>
          <w:rFonts w:ascii="Arial" w:hAnsi="Arial" w:cs="Arial"/>
        </w:rPr>
        <w:tab/>
      </w:r>
    </w:p>
    <w:p w:rsidR="001270A3" w:rsidRPr="00A57195" w:rsidRDefault="002048CA" w:rsidP="001270A3">
      <w:pPr>
        <w:widowControl/>
        <w:rPr>
          <w:rFonts w:ascii="Arial" w:hAnsi="Arial" w:cs="Arial"/>
          <w:b/>
        </w:rPr>
      </w:pPr>
      <w:r w:rsidRPr="00A57195">
        <w:rPr>
          <w:rFonts w:ascii="Arial" w:hAnsi="Arial" w:cs="Arial"/>
        </w:rPr>
        <w:t>80054</w:t>
      </w:r>
      <w:r w:rsidR="001270A3" w:rsidRPr="00A57195">
        <w:rPr>
          <w:rFonts w:ascii="Arial" w:hAnsi="Arial" w:cs="Arial"/>
        </w:rPr>
        <w:t xml:space="preserve"> AMIENS</w:t>
      </w:r>
      <w:r w:rsidR="001270A3" w:rsidRPr="00A57195">
        <w:rPr>
          <w:rFonts w:ascii="Arial" w:hAnsi="Arial" w:cs="Arial"/>
        </w:rPr>
        <w:tab/>
      </w:r>
      <w:r w:rsidR="00240D1E" w:rsidRPr="00A57195">
        <w:rPr>
          <w:rFonts w:ascii="Arial" w:hAnsi="Arial" w:cs="Arial"/>
        </w:rPr>
        <w:t>cedex</w:t>
      </w:r>
      <w:r w:rsidR="001270A3" w:rsidRPr="00A57195">
        <w:rPr>
          <w:rFonts w:ascii="Arial" w:hAnsi="Arial" w:cs="Arial"/>
        </w:rPr>
        <w:tab/>
      </w:r>
      <w:r w:rsidR="001270A3" w:rsidRPr="00A57195">
        <w:rPr>
          <w:rFonts w:ascii="Arial" w:hAnsi="Arial" w:cs="Arial"/>
        </w:rPr>
        <w:tab/>
      </w:r>
      <w:r w:rsidR="001270A3" w:rsidRPr="00A57195">
        <w:rPr>
          <w:rFonts w:ascii="Arial" w:hAnsi="Arial" w:cs="Arial"/>
        </w:rPr>
        <w:tab/>
        <w:t xml:space="preserve">       </w:t>
      </w:r>
    </w:p>
    <w:p w:rsidR="001270A3" w:rsidRPr="00A57195" w:rsidRDefault="001270A3">
      <w:pPr>
        <w:widowControl/>
        <w:rPr>
          <w:rFonts w:ascii="Arial" w:hAnsi="Arial" w:cs="Arial"/>
        </w:rPr>
      </w:pPr>
    </w:p>
    <w:bookmarkEnd w:id="0"/>
    <w:p w:rsidR="00E854CF" w:rsidRPr="00A57195" w:rsidRDefault="00D91BA8" w:rsidP="00E854CF">
      <w:pPr>
        <w:widowControl/>
        <w:rPr>
          <w:rFonts w:ascii="Arial" w:hAnsi="Arial" w:cs="Arial"/>
          <w:b/>
          <w:bCs/>
          <w:i/>
          <w:iCs/>
        </w:rPr>
      </w:pPr>
      <w:r w:rsidRPr="00A57195">
        <w:rPr>
          <w:rFonts w:ascii="Arial" w:hAnsi="Arial" w:cs="Arial"/>
          <w:b/>
          <w:sz w:val="22"/>
        </w:rPr>
        <w:t xml:space="preserve">Téléphone : </w:t>
      </w:r>
      <w:r w:rsidRPr="00A57195">
        <w:rPr>
          <w:rFonts w:ascii="Arial" w:hAnsi="Arial" w:cs="Arial"/>
        </w:rPr>
        <w:t>03.22.08.86.30</w:t>
      </w:r>
    </w:p>
    <w:p w:rsidR="00D91BA8" w:rsidRPr="00A57195" w:rsidRDefault="00D91BA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D91BA8" w:rsidRPr="00A57195" w:rsidRDefault="00D91BA8" w:rsidP="00E854CF">
      <w:pPr>
        <w:widowControl/>
        <w:rPr>
          <w:rFonts w:ascii="Arial" w:hAnsi="Arial" w:cs="Arial"/>
          <w:b/>
          <w:bCs/>
          <w:i/>
          <w:iCs/>
        </w:rPr>
      </w:pPr>
      <w:r w:rsidRPr="00A57195">
        <w:rPr>
          <w:rFonts w:ascii="Arial" w:hAnsi="Arial" w:cs="Arial"/>
          <w:b/>
          <w:sz w:val="22"/>
        </w:rPr>
        <w:t xml:space="preserve">Courriel : </w:t>
      </w:r>
      <w:hyperlink r:id="rId7" w:history="1">
        <w:r w:rsidRPr="00A57195">
          <w:rPr>
            <w:rStyle w:val="Lienhypertexte"/>
            <w:rFonts w:ascii="Arial" w:hAnsi="Arial" w:cs="Arial"/>
          </w:rPr>
          <w:t>direction.achats-ght@chu-amiens.fr</w:t>
        </w:r>
      </w:hyperlink>
    </w:p>
    <w:p w:rsidR="00D91BA8" w:rsidRPr="00A57195" w:rsidRDefault="00D91BA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D91BA8" w:rsidRPr="00A57195" w:rsidRDefault="00D91BA8" w:rsidP="00E854CF">
      <w:pPr>
        <w:widowControl/>
        <w:rPr>
          <w:rFonts w:ascii="Arial" w:hAnsi="Arial" w:cs="Arial"/>
          <w:b/>
          <w:bCs/>
          <w:i/>
          <w:iCs/>
        </w:rPr>
      </w:pPr>
      <w:r w:rsidRPr="00A57195">
        <w:rPr>
          <w:rFonts w:ascii="Arial" w:hAnsi="Arial" w:cs="Arial"/>
          <w:b/>
          <w:sz w:val="22"/>
        </w:rPr>
        <w:t xml:space="preserve">Adresse internet : </w:t>
      </w:r>
      <w:hyperlink r:id="rId8" w:history="1">
        <w:r w:rsidRPr="00A57195">
          <w:rPr>
            <w:rStyle w:val="Lienhypertexte"/>
            <w:rFonts w:ascii="Arial" w:hAnsi="Arial" w:cs="Arial"/>
          </w:rPr>
          <w:t>https://www.marches-publics.gouv.fr</w:t>
        </w:r>
      </w:hyperlink>
    </w:p>
    <w:p w:rsidR="00D91BA8" w:rsidRPr="00A57195" w:rsidRDefault="00D91BA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D91BA8" w:rsidRPr="00A57195" w:rsidRDefault="00D91BA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9B1754" w:rsidRDefault="009B1754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330DEF" w:rsidRPr="009B1754" w:rsidRDefault="00330DEF" w:rsidP="009B1754">
      <w:pPr>
        <w:widowControl/>
        <w:rPr>
          <w:rFonts w:ascii="Arial" w:hAnsi="Arial" w:cs="Arial"/>
          <w:b/>
          <w:bCs/>
          <w:i/>
          <w:iCs/>
        </w:rPr>
      </w:pPr>
    </w:p>
    <w:p w:rsidR="00D91BA8" w:rsidRDefault="00D91BA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D91BA8" w:rsidRDefault="00D91BA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C13C29" w:rsidRPr="00C13C29" w:rsidRDefault="00C13C29" w:rsidP="00C13C29">
      <w:pPr>
        <w:widowControl/>
        <w:rPr>
          <w:rFonts w:ascii="Arial" w:hAnsi="Arial" w:cs="Arial"/>
          <w:b/>
          <w:bCs/>
          <w:sz w:val="40"/>
          <w:szCs w:val="40"/>
        </w:rPr>
      </w:pPr>
      <w:r w:rsidRPr="00C13C29">
        <w:rPr>
          <w:rFonts w:ascii="Arial" w:hAnsi="Arial" w:cs="Arial"/>
          <w:b/>
          <w:bCs/>
          <w:sz w:val="40"/>
          <w:szCs w:val="40"/>
        </w:rPr>
        <w:t>LOT N°……</w:t>
      </w:r>
    </w:p>
    <w:p w:rsidR="00D91BA8" w:rsidRDefault="00D91BA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D91BA8" w:rsidRDefault="00D91BA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F46728" w:rsidRDefault="00F4672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F46728" w:rsidRDefault="00F46728" w:rsidP="00E854CF">
      <w:pPr>
        <w:widowControl/>
        <w:rPr>
          <w:rFonts w:ascii="Arial" w:hAnsi="Arial" w:cs="Arial"/>
          <w:b/>
          <w:bCs/>
          <w:i/>
          <w:iCs/>
        </w:rPr>
      </w:pPr>
    </w:p>
    <w:p w:rsidR="008B428D" w:rsidRDefault="008B428D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FFFFFF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C- Contractant(s)</w:t>
      </w:r>
    </w:p>
    <w:p w:rsidR="008B428D" w:rsidRDefault="008B428D">
      <w:pPr>
        <w:pStyle w:val="RedTxt"/>
      </w:pPr>
    </w:p>
    <w:p w:rsidR="008B428D" w:rsidRDefault="008B428D">
      <w:pPr>
        <w:pStyle w:val="RedTxt"/>
      </w:pPr>
    </w:p>
    <w:p w:rsidR="008B428D" w:rsidRDefault="008B428D">
      <w:pPr>
        <w:pStyle w:val="RedTxt"/>
      </w:pPr>
    </w:p>
    <w:p w:rsidR="008B428D" w:rsidRDefault="008B428D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Ind w:w="-38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8B428D">
        <w:tblPrEx>
          <w:tblCellMar>
            <w:top w:w="0" w:type="dxa"/>
            <w:bottom w:w="0" w:type="dxa"/>
          </w:tblCellMar>
        </w:tblPrEx>
        <w:tc>
          <w:tcPr>
            <w:tcW w:w="1809" w:type="dxa"/>
          </w:tcPr>
          <w:p w:rsidR="008B428D" w:rsidRDefault="008B428D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 :</w:t>
            </w:r>
          </w:p>
        </w:tc>
        <w:bookmarkStart w:id="13" w:name="Texte1"/>
        <w:tc>
          <w:tcPr>
            <w:tcW w:w="5875" w:type="dxa"/>
          </w:tcPr>
          <w:p w:rsidR="008B428D" w:rsidRDefault="008B428D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809" w:type="dxa"/>
          </w:tcPr>
          <w:p w:rsidR="008B428D" w:rsidRDefault="008B428D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Prénom :</w:t>
            </w:r>
          </w:p>
        </w:tc>
        <w:tc>
          <w:tcPr>
            <w:tcW w:w="5875" w:type="dxa"/>
          </w:tcPr>
          <w:p w:rsidR="008B428D" w:rsidRDefault="008B428D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809" w:type="dxa"/>
          </w:tcPr>
          <w:p w:rsidR="008B428D" w:rsidRDefault="008B428D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Qualité :</w:t>
            </w:r>
          </w:p>
        </w:tc>
        <w:tc>
          <w:tcPr>
            <w:tcW w:w="5875" w:type="dxa"/>
          </w:tcPr>
          <w:p w:rsidR="008B428D" w:rsidRDefault="008B428D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8B428D" w:rsidRDefault="008B428D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6095"/>
      </w:tblGrid>
      <w:tr w:rsidR="008B428D">
        <w:tblPrEx>
          <w:tblCellMar>
            <w:top w:w="0" w:type="dxa"/>
            <w:bottom w:w="0" w:type="dxa"/>
          </w:tblCellMar>
        </w:tblPrEx>
        <w:tc>
          <w:tcPr>
            <w:tcW w:w="446" w:type="dxa"/>
          </w:tcPr>
          <w:p w:rsidR="008B428D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:rsidR="008B428D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mon propre compte</w:t>
            </w:r>
          </w:p>
          <w:p w:rsidR="004B463C" w:rsidRDefault="004B463C" w:rsidP="004B463C">
            <w:pPr>
              <w:rPr>
                <w:rFonts w:ascii="Arial" w:hAnsi="Arial" w:cs="Arial"/>
              </w:rPr>
            </w:pP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446" w:type="dxa"/>
          </w:tcPr>
          <w:p w:rsidR="008B428D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:rsidR="004B463C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société</w:t>
            </w:r>
          </w:p>
          <w:p w:rsidR="008B428D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14" w:name="CadreReponse"/>
      <w:tr w:rsidR="008B428D">
        <w:tblPrEx>
          <w:tblCellMar>
            <w:top w:w="0" w:type="dxa"/>
            <w:bottom w:w="0" w:type="dxa"/>
          </w:tblCellMar>
        </w:tblPrEx>
        <w:tc>
          <w:tcPr>
            <w:tcW w:w="446" w:type="dxa"/>
          </w:tcPr>
          <w:p w:rsidR="008B428D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6095" w:type="dxa"/>
          </w:tcPr>
          <w:p w:rsidR="008B428D" w:rsidRDefault="008B428D" w:rsidP="004B463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</w:rPr>
              <w:t>Signant pour le compte de la personne publique prestataire</w:t>
            </w:r>
          </w:p>
          <w:p w:rsidR="004B463C" w:rsidRDefault="004B463C" w:rsidP="004B463C">
            <w:pPr>
              <w:rPr>
                <w:rFonts w:ascii="Arial" w:hAnsi="Arial" w:cs="Arial"/>
              </w:rPr>
            </w:pPr>
          </w:p>
        </w:tc>
      </w:tr>
    </w:tbl>
    <w:p w:rsidR="008B428D" w:rsidRDefault="004B463C" w:rsidP="004B463C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E</w:t>
      </w:r>
      <w:r w:rsidR="008B428D">
        <w:rPr>
          <w:rFonts w:ascii="Arial" w:hAnsi="Arial" w:cs="Arial"/>
          <w:b/>
          <w:bCs/>
          <w:i/>
          <w:iCs/>
        </w:rPr>
        <w:t>t</w:t>
      </w:r>
    </w:p>
    <w:p w:rsidR="004B463C" w:rsidRDefault="004B463C" w:rsidP="004B463C">
      <w:pPr>
        <w:rPr>
          <w:rFonts w:ascii="Arial" w:hAnsi="Arial" w:cs="Arial"/>
          <w:b/>
          <w:bCs/>
          <w:i/>
          <w:iCs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652"/>
        <w:gridCol w:w="40"/>
        <w:gridCol w:w="406"/>
        <w:gridCol w:w="40"/>
        <w:gridCol w:w="2208"/>
        <w:gridCol w:w="2410"/>
        <w:gridCol w:w="40"/>
        <w:gridCol w:w="1297"/>
      </w:tblGrid>
      <w:tr w:rsidR="008B428D" w:rsidTr="007F34FA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482" w:type="dxa"/>
          </w:tcPr>
          <w:p w:rsidR="008B428D" w:rsidRPr="004B463C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093" w:type="dxa"/>
            <w:gridSpan w:val="8"/>
          </w:tcPr>
          <w:p w:rsidR="007F34FA" w:rsidRPr="004B463C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</w:t>
            </w:r>
            <w:r w:rsidR="004B463C">
              <w:rPr>
                <w:rFonts w:ascii="Arial" w:hAnsi="Arial" w:cs="Arial"/>
              </w:rPr>
              <w:t>t en tant que prestataire unique</w:t>
            </w:r>
          </w:p>
        </w:tc>
      </w:tr>
      <w:tr w:rsidR="007F34FA" w:rsidTr="007F34FA">
        <w:tblPrEx>
          <w:tblCellMar>
            <w:top w:w="0" w:type="dxa"/>
            <w:bottom w:w="0" w:type="dxa"/>
          </w:tblCellMar>
        </w:tblPrEx>
        <w:tc>
          <w:tcPr>
            <w:tcW w:w="482" w:type="dxa"/>
          </w:tcPr>
          <w:p w:rsidR="007F34FA" w:rsidRDefault="007F34FA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093" w:type="dxa"/>
            <w:gridSpan w:val="8"/>
          </w:tcPr>
          <w:p w:rsidR="007F34FA" w:rsidRDefault="007F34FA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Agissant en tant que </w:t>
            </w:r>
            <w:r w:rsidR="00137012">
              <w:rPr>
                <w:rFonts w:ascii="Arial" w:hAnsi="Arial" w:cs="Arial"/>
              </w:rPr>
              <w:t xml:space="preserve">membre </w:t>
            </w:r>
            <w:r w:rsidR="00396174">
              <w:rPr>
                <w:rFonts w:ascii="Arial" w:hAnsi="Arial" w:cs="Arial"/>
              </w:rPr>
              <w:t xml:space="preserve">du </w:t>
            </w:r>
            <w:r>
              <w:rPr>
                <w:rFonts w:ascii="Arial" w:hAnsi="Arial" w:cs="Arial"/>
              </w:rPr>
              <w:t>groupement défini ci-après</w:t>
            </w:r>
          </w:p>
        </w:tc>
      </w:tr>
      <w:tr w:rsidR="007F34FA" w:rsidTr="004B463C">
        <w:tblPrEx>
          <w:tblCellMar>
            <w:top w:w="0" w:type="dxa"/>
            <w:bottom w:w="0" w:type="dxa"/>
          </w:tblCellMar>
        </w:tblPrEx>
        <w:trPr>
          <w:gridBefore w:val="2"/>
          <w:gridAfter w:val="2"/>
          <w:wBefore w:w="1134" w:type="dxa"/>
          <w:wAfter w:w="1337" w:type="dxa"/>
          <w:trHeight w:val="65"/>
        </w:trPr>
        <w:tc>
          <w:tcPr>
            <w:tcW w:w="446" w:type="dxa"/>
            <w:gridSpan w:val="2"/>
          </w:tcPr>
          <w:p w:rsidR="007F34FA" w:rsidRDefault="007F34FA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8" w:type="dxa"/>
            <w:gridSpan w:val="2"/>
          </w:tcPr>
          <w:p w:rsidR="007F34FA" w:rsidRDefault="007F34FA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10" w:type="dxa"/>
          </w:tcPr>
          <w:p w:rsidR="004A3237" w:rsidRDefault="007F34FA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r w:rsidR="004A3237">
              <w:rPr>
                <w:rFonts w:ascii="Arial" w:hAnsi="Arial" w:cs="Arial"/>
              </w:rPr>
              <w:t xml:space="preserve"> Conjoint</w:t>
            </w:r>
          </w:p>
          <w:p w:rsidR="004B463C" w:rsidRDefault="004B463C" w:rsidP="004B463C">
            <w:pPr>
              <w:rPr>
                <w:rFonts w:ascii="Arial" w:hAnsi="Arial" w:cs="Arial"/>
              </w:rPr>
            </w:pPr>
          </w:p>
        </w:tc>
      </w:tr>
      <w:tr w:rsidR="008B428D" w:rsidRPr="004A3237" w:rsidTr="007F34FA">
        <w:tblPrEx>
          <w:tblCellMar>
            <w:top w:w="0" w:type="dxa"/>
            <w:bottom w:w="0" w:type="dxa"/>
          </w:tblCellMar>
        </w:tblPrEx>
        <w:tc>
          <w:tcPr>
            <w:tcW w:w="482" w:type="dxa"/>
          </w:tcPr>
          <w:p w:rsidR="008B428D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093" w:type="dxa"/>
            <w:gridSpan w:val="8"/>
          </w:tcPr>
          <w:p w:rsidR="008B428D" w:rsidRPr="004A3237" w:rsidRDefault="00137012" w:rsidP="004B463C">
            <w:pPr>
              <w:rPr>
                <w:rFonts w:ascii="Arial" w:hAnsi="Arial" w:cs="Arial"/>
              </w:rPr>
            </w:pPr>
            <w:r w:rsidRPr="004A3237">
              <w:rPr>
                <w:rFonts w:ascii="Arial" w:hAnsi="Arial" w:cs="Arial"/>
              </w:rPr>
              <w:t>En cas de groupement conjoint, a</w:t>
            </w:r>
            <w:r w:rsidR="007F34FA" w:rsidRPr="004A3237">
              <w:rPr>
                <w:rFonts w:ascii="Arial" w:hAnsi="Arial" w:cs="Arial"/>
              </w:rPr>
              <w:t xml:space="preserve">gissant en tant que mandataire </w:t>
            </w:r>
            <w:r w:rsidR="008B428D" w:rsidRPr="004A3237">
              <w:rPr>
                <w:rFonts w:ascii="Arial" w:hAnsi="Arial" w:cs="Arial"/>
              </w:rPr>
              <w:t>défini ci-après</w:t>
            </w:r>
          </w:p>
        </w:tc>
      </w:tr>
      <w:tr w:rsidR="008B428D" w:rsidTr="004B463C">
        <w:tblPrEx>
          <w:tblCellMar>
            <w:top w:w="0" w:type="dxa"/>
            <w:bottom w:w="0" w:type="dxa"/>
          </w:tblCellMar>
        </w:tblPrEx>
        <w:trPr>
          <w:gridBefore w:val="3"/>
          <w:gridAfter w:val="1"/>
          <w:wBefore w:w="1174" w:type="dxa"/>
          <w:wAfter w:w="1297" w:type="dxa"/>
          <w:trHeight w:val="65"/>
        </w:trPr>
        <w:tc>
          <w:tcPr>
            <w:tcW w:w="446" w:type="dxa"/>
            <w:gridSpan w:val="2"/>
          </w:tcPr>
          <w:p w:rsidR="008B428D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8" w:type="dxa"/>
          </w:tcPr>
          <w:p w:rsidR="008B428D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50" w:type="dxa"/>
            <w:gridSpan w:val="2"/>
          </w:tcPr>
          <w:p w:rsidR="00071636" w:rsidRDefault="008B428D" w:rsidP="004B46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Conjoint</w:t>
            </w:r>
          </w:p>
        </w:tc>
      </w:tr>
    </w:tbl>
    <w:p w:rsidR="008B428D" w:rsidRDefault="008B428D">
      <w:pPr>
        <w:pStyle w:val="RedTxt"/>
      </w:pPr>
    </w:p>
    <w:p w:rsidR="008B428D" w:rsidRDefault="008B428D">
      <w:pPr>
        <w:pStyle w:val="RedTxt"/>
      </w:pPr>
    </w:p>
    <w:p w:rsidR="008B428D" w:rsidRDefault="008B428D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:rsidR="008B428D" w:rsidRDefault="008B428D">
      <w:pPr>
        <w:pStyle w:val="RedTxt"/>
        <w:rPr>
          <w:i/>
          <w:iCs/>
        </w:rPr>
      </w:pPr>
    </w:p>
    <w:tbl>
      <w:tblPr>
        <w:tblW w:w="0" w:type="auto"/>
        <w:tblInd w:w="7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5468"/>
      </w:tblGrid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</w:pP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</w:pP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</w:pP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3085" w:type="dxa"/>
          </w:tcPr>
          <w:p w:rsidR="008B428D" w:rsidRDefault="008B428D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5468" w:type="dxa"/>
          </w:tcPr>
          <w:p w:rsidR="008B428D" w:rsidRDefault="008B428D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:rsidR="008B428D" w:rsidRDefault="008B428D">
      <w:pPr>
        <w:pStyle w:val="RedTxt"/>
        <w:spacing w:before="40" w:after="40"/>
        <w:rPr>
          <w:i/>
          <w:iCs/>
        </w:rPr>
        <w:sectPr w:rsidR="008B428D">
          <w:pgSz w:w="11907" w:h="16840"/>
          <w:pgMar w:top="1418" w:right="1418" w:bottom="1418" w:left="1418" w:header="709" w:footer="709" w:gutter="0"/>
          <w:cols w:space="709"/>
          <w:titlePg/>
        </w:sectPr>
      </w:pPr>
    </w:p>
    <w:p w:rsidR="008B428D" w:rsidRDefault="008B428D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En cas de groupement, cotraitant n°1</w:t>
      </w:r>
    </w:p>
    <w:p w:rsidR="008B428D" w:rsidRDefault="008B428D">
      <w:pPr>
        <w:pStyle w:val="RedTxt"/>
        <w:rPr>
          <w:i/>
          <w:iCs/>
          <w:sz w:val="14"/>
          <w:szCs w:val="14"/>
        </w:rPr>
      </w:pPr>
    </w:p>
    <w:tbl>
      <w:tblPr>
        <w:tblW w:w="0" w:type="auto"/>
        <w:tblInd w:w="-3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291"/>
      </w:tblGrid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:rsidR="008B428D" w:rsidRDefault="008B428D">
      <w:pPr>
        <w:pStyle w:val="RedTxt"/>
        <w:spacing w:before="40" w:after="40"/>
      </w:pPr>
    </w:p>
    <w:p w:rsidR="008B428D" w:rsidRDefault="008B428D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:rsidR="008B428D" w:rsidRDefault="008B428D">
      <w:pPr>
        <w:pStyle w:val="RedTxt"/>
        <w:rPr>
          <w:i/>
          <w:iCs/>
          <w:sz w:val="14"/>
          <w:szCs w:val="14"/>
        </w:rPr>
      </w:pPr>
    </w:p>
    <w:tbl>
      <w:tblPr>
        <w:tblW w:w="0" w:type="auto"/>
        <w:tblInd w:w="-3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685"/>
      </w:tblGrid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:rsidR="008B428D" w:rsidRDefault="008B428D">
      <w:pPr>
        <w:pStyle w:val="RedTxt"/>
        <w:spacing w:before="40" w:after="40"/>
      </w:pPr>
    </w:p>
    <w:p w:rsidR="008B428D" w:rsidRDefault="008B428D">
      <w:pPr>
        <w:pStyle w:val="RedTxt"/>
        <w:spacing w:before="40" w:after="40"/>
        <w:sectPr w:rsidR="008B428D">
          <w:pgSz w:w="11906" w:h="16838"/>
          <w:pgMar w:top="1417" w:right="1417" w:bottom="1417" w:left="1417" w:header="709" w:footer="709" w:gutter="0"/>
          <w:cols w:num="2" w:space="709" w:equalWidth="0">
            <w:col w:w="4182" w:space="708"/>
            <w:col w:w="4182"/>
          </w:cols>
        </w:sectPr>
      </w:pPr>
    </w:p>
    <w:p w:rsidR="008B428D" w:rsidRDefault="008B428D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:rsidR="008B428D" w:rsidRDefault="008B428D">
      <w:pPr>
        <w:pStyle w:val="RedTxt"/>
        <w:rPr>
          <w:i/>
          <w:iCs/>
          <w:sz w:val="14"/>
          <w:szCs w:val="14"/>
        </w:rPr>
      </w:pPr>
    </w:p>
    <w:tbl>
      <w:tblPr>
        <w:tblW w:w="0" w:type="auto"/>
        <w:tblInd w:w="-3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291"/>
      </w:tblGrid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:rsidR="008B428D" w:rsidRDefault="008B428D">
      <w:pPr>
        <w:pStyle w:val="RedTxt"/>
        <w:spacing w:before="40" w:after="40"/>
      </w:pPr>
    </w:p>
    <w:p w:rsidR="008B428D" w:rsidRDefault="008B428D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:rsidR="008B428D" w:rsidRDefault="008B428D">
      <w:pPr>
        <w:pStyle w:val="RedTxt"/>
        <w:rPr>
          <w:i/>
          <w:iCs/>
          <w:sz w:val="14"/>
          <w:szCs w:val="14"/>
        </w:rPr>
      </w:pPr>
    </w:p>
    <w:tbl>
      <w:tblPr>
        <w:tblW w:w="0" w:type="auto"/>
        <w:tblInd w:w="-3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685"/>
      </w:tblGrid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B428D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:rsidR="008B428D" w:rsidRDefault="008B428D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:rsidR="008B428D" w:rsidRDefault="008B428D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:rsidR="008B428D" w:rsidRDefault="008B428D">
      <w:pPr>
        <w:pStyle w:val="RedTxt"/>
        <w:spacing w:before="40" w:after="40"/>
      </w:pPr>
    </w:p>
    <w:p w:rsidR="008B428D" w:rsidRDefault="008B428D">
      <w:pPr>
        <w:pStyle w:val="RedTxt"/>
        <w:sectPr w:rsidR="008B428D">
          <w:type w:val="continuous"/>
          <w:pgSz w:w="11906" w:h="16838"/>
          <w:pgMar w:top="1417" w:right="1417" w:bottom="1417" w:left="1417" w:header="709" w:footer="709" w:gutter="0"/>
          <w:cols w:num="2" w:space="709" w:equalWidth="0">
            <w:col w:w="4182" w:space="708"/>
            <w:col w:w="4182"/>
          </w:cols>
        </w:sectPr>
      </w:pPr>
    </w:p>
    <w:p w:rsidR="008B428D" w:rsidRDefault="008B428D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constitutifs du marché listés dans le CCAP n°</w:t>
      </w:r>
      <w:r w:rsidR="009C711D" w:rsidRPr="009C711D">
        <w:t>25HA0030</w:t>
      </w:r>
      <w:r w:rsidR="0005370F">
        <w:t xml:space="preserve">. </w:t>
      </w:r>
    </w:p>
    <w:p w:rsidR="008B428D" w:rsidRDefault="008B428D">
      <w:pPr>
        <w:pStyle w:val="RedTxt"/>
        <w:jc w:val="both"/>
      </w:pPr>
    </w:p>
    <w:p w:rsidR="008B428D" w:rsidRPr="00E95D7D" w:rsidRDefault="008B428D">
      <w:pPr>
        <w:pStyle w:val="RedTxt"/>
        <w:jc w:val="both"/>
        <w:rPr>
          <w:b/>
        </w:rPr>
      </w:pPr>
      <w:r w:rsidRPr="00E95D7D">
        <w:rPr>
          <w:b/>
        </w:rPr>
        <w:t>Je m'engage (nous nous engageons) sans réserve, conformément aux clauses et conditions des documents visés ci-dessus, à exécuter les prestations demandées dans les conditions définies ci-après,</w:t>
      </w:r>
    </w:p>
    <w:p w:rsidR="008B428D" w:rsidRDefault="008B428D">
      <w:pPr>
        <w:pStyle w:val="RedTxt"/>
        <w:jc w:val="both"/>
      </w:pPr>
    </w:p>
    <w:p w:rsidR="008B428D" w:rsidRDefault="008B428D">
      <w:pPr>
        <w:pStyle w:val="RedTxt"/>
        <w:jc w:val="both"/>
      </w:pPr>
      <w:r>
        <w:t xml:space="preserve">Je m'engage (ou j'engage le groupement dont je suis mandataire), sur la base de mon offre (ou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</w:t>
      </w:r>
      <w:r w:rsidR="009B738B">
        <w:t>juin</w:t>
      </w:r>
      <w:r w:rsidR="002F1B20">
        <w:t xml:space="preserve"> </w:t>
      </w:r>
      <w:r w:rsidR="00330DEF">
        <w:t>2025</w:t>
      </w:r>
      <w:r>
        <w:t>).</w:t>
      </w:r>
    </w:p>
    <w:bookmarkEnd w:id="1"/>
    <w:p w:rsidR="008B428D" w:rsidRDefault="008B428D">
      <w:pPr>
        <w:pStyle w:val="RedTxt"/>
        <w:jc w:val="both"/>
      </w:pPr>
      <w:r>
        <w:t xml:space="preserve">L'offre ainsi présentée me lie pour une durée de </w:t>
      </w:r>
      <w:r w:rsidR="0005370F">
        <w:rPr>
          <w:b/>
          <w:bCs/>
        </w:rPr>
        <w:t>180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  <w:r>
        <w:br w:type="page"/>
      </w:r>
    </w:p>
    <w:p w:rsidR="008B428D" w:rsidRDefault="008B428D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FFFFFF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D- Prix</w:t>
      </w:r>
    </w:p>
    <w:p w:rsidR="008B428D" w:rsidRDefault="008B428D">
      <w:pPr>
        <w:pStyle w:val="RedTxt"/>
      </w:pPr>
    </w:p>
    <w:bookmarkEnd w:id="2"/>
    <w:bookmarkEnd w:id="3"/>
    <w:bookmarkEnd w:id="4"/>
    <w:bookmarkEnd w:id="5"/>
    <w:bookmarkEnd w:id="6"/>
    <w:p w:rsidR="00330DEF" w:rsidRDefault="00330DEF" w:rsidP="009C711D">
      <w:pPr>
        <w:pStyle w:val="RedTxt"/>
        <w:jc w:val="both"/>
        <w:rPr>
          <w:sz w:val="20"/>
        </w:rPr>
      </w:pPr>
      <w:r w:rsidRPr="00EF312A">
        <w:rPr>
          <w:sz w:val="20"/>
        </w:rPr>
        <w:t>Il s’agit d’un accord-cadre mono-attributaire à bons de commande sans minimum et avec un montant maximum de 1 800 000 euros HT au sens des articles R2162-4, R2162-13 et R2162.14 du code de la commande publique, sur toute la durée du marché (soit 48 mois, périodes de reconduction comprises)</w:t>
      </w:r>
      <w:r w:rsidR="00B73D63">
        <w:rPr>
          <w:sz w:val="20"/>
        </w:rPr>
        <w:t xml:space="preserve"> tous lots confondus</w:t>
      </w:r>
      <w:r w:rsidRPr="00EF312A">
        <w:rPr>
          <w:sz w:val="20"/>
        </w:rPr>
        <w:t>.</w:t>
      </w:r>
    </w:p>
    <w:p w:rsidR="009C711D" w:rsidRPr="00EF312A" w:rsidRDefault="009C711D" w:rsidP="009C711D">
      <w:pPr>
        <w:pStyle w:val="RedTxt"/>
        <w:jc w:val="both"/>
        <w:rPr>
          <w:sz w:val="20"/>
        </w:rPr>
      </w:pPr>
    </w:p>
    <w:p w:rsidR="00330DEF" w:rsidRPr="00EF312A" w:rsidRDefault="00330DEF" w:rsidP="009C711D">
      <w:pPr>
        <w:pStyle w:val="RedTxt"/>
        <w:jc w:val="both"/>
        <w:rPr>
          <w:sz w:val="20"/>
        </w:rPr>
      </w:pPr>
      <w:r w:rsidRPr="00EF312A">
        <w:rPr>
          <w:sz w:val="20"/>
        </w:rPr>
        <w:t>Le montant maximum se décompose comme suit :</w:t>
      </w:r>
    </w:p>
    <w:p w:rsidR="00330DEF" w:rsidRPr="00EF312A" w:rsidRDefault="00330DEF" w:rsidP="00330DEF">
      <w:pPr>
        <w:pStyle w:val="RedTxt"/>
        <w:rPr>
          <w:sz w:val="20"/>
        </w:rPr>
      </w:pPr>
    </w:p>
    <w:tbl>
      <w:tblPr>
        <w:tblpPr w:leftFromText="141" w:rightFromText="141" w:vertAnchor="text" w:horzAnchor="margin" w:tblpYSpec="inside"/>
        <w:tblW w:w="90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0"/>
        <w:gridCol w:w="3079"/>
        <w:gridCol w:w="3041"/>
      </w:tblGrid>
      <w:tr w:rsidR="00330DEF" w:rsidRPr="00EF312A" w:rsidTr="00330DEF">
        <w:trPr>
          <w:trHeight w:val="219"/>
        </w:trPr>
        <w:tc>
          <w:tcPr>
            <w:tcW w:w="29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E599"/>
            <w:vAlign w:val="center"/>
          </w:tcPr>
          <w:p w:rsidR="00330DEF" w:rsidRPr="00EF312A" w:rsidRDefault="00330DEF" w:rsidP="00330DEF">
            <w:pPr>
              <w:pStyle w:val="RedTxt"/>
              <w:rPr>
                <w:sz w:val="20"/>
              </w:rPr>
            </w:pPr>
            <w:r w:rsidRPr="00EF312A">
              <w:rPr>
                <w:sz w:val="20"/>
              </w:rPr>
              <w:t>Lots</w:t>
            </w:r>
          </w:p>
        </w:tc>
        <w:tc>
          <w:tcPr>
            <w:tcW w:w="30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30DEF" w:rsidRPr="00EF312A" w:rsidRDefault="00330DEF" w:rsidP="00330DEF">
            <w:pPr>
              <w:pStyle w:val="RedTxt"/>
              <w:rPr>
                <w:sz w:val="20"/>
              </w:rPr>
            </w:pPr>
            <w:r w:rsidRPr="00EF312A">
              <w:rPr>
                <w:sz w:val="20"/>
              </w:rPr>
              <w:t>Montants maximums par période</w:t>
            </w:r>
          </w:p>
        </w:tc>
        <w:tc>
          <w:tcPr>
            <w:tcW w:w="3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vAlign w:val="center"/>
          </w:tcPr>
          <w:p w:rsidR="00330DEF" w:rsidRPr="00EF312A" w:rsidRDefault="00330DEF" w:rsidP="00330DEF">
            <w:pPr>
              <w:pStyle w:val="RedTxt"/>
              <w:rPr>
                <w:sz w:val="20"/>
              </w:rPr>
            </w:pPr>
            <w:r w:rsidRPr="00EF312A">
              <w:rPr>
                <w:sz w:val="20"/>
              </w:rPr>
              <w:t>Montants maximums sur 48 mois</w:t>
            </w:r>
          </w:p>
        </w:tc>
      </w:tr>
      <w:tr w:rsidR="00330DEF" w:rsidRPr="00EF312A" w:rsidTr="006D6E6D">
        <w:trPr>
          <w:trHeight w:val="219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30DEF" w:rsidRPr="00EF312A" w:rsidRDefault="00330DEF" w:rsidP="00330DEF">
            <w:pPr>
              <w:pStyle w:val="RedTxt"/>
              <w:rPr>
                <w:sz w:val="20"/>
              </w:rPr>
            </w:pPr>
            <w:r w:rsidRPr="00EF312A">
              <w:rPr>
                <w:sz w:val="20"/>
              </w:rPr>
              <w:t>Lot 1 – CHU Amiens Picardie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30DEF" w:rsidRPr="00EF312A" w:rsidRDefault="00330DEF" w:rsidP="00330DEF">
            <w:pPr>
              <w:pStyle w:val="RedTxt"/>
              <w:rPr>
                <w:sz w:val="20"/>
              </w:rPr>
            </w:pPr>
            <w:r w:rsidRPr="00EF312A">
              <w:rPr>
                <w:sz w:val="20"/>
              </w:rPr>
              <w:t>250 000 € HT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30DEF" w:rsidRPr="00EF312A" w:rsidRDefault="0055443B" w:rsidP="00330DEF">
            <w:pPr>
              <w:pStyle w:val="RedTxt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330DEF" w:rsidRPr="00EF312A">
              <w:rPr>
                <w:sz w:val="20"/>
              </w:rPr>
              <w:t>1 000 000 € HT</w:t>
            </w:r>
          </w:p>
        </w:tc>
      </w:tr>
      <w:tr w:rsidR="00330DEF" w:rsidRPr="00EF312A" w:rsidTr="006D6E6D">
        <w:trPr>
          <w:trHeight w:val="219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30DEF" w:rsidRPr="00EF312A" w:rsidRDefault="00330DEF" w:rsidP="00330DEF">
            <w:pPr>
              <w:pStyle w:val="RedTxt"/>
              <w:rPr>
                <w:sz w:val="20"/>
              </w:rPr>
            </w:pPr>
            <w:r w:rsidRPr="00EF312A">
              <w:rPr>
                <w:sz w:val="20"/>
              </w:rPr>
              <w:t>Lot 2 – CH d’Abbeville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30DEF" w:rsidRPr="00EF312A" w:rsidRDefault="00330DEF" w:rsidP="00330DEF">
            <w:pPr>
              <w:pStyle w:val="RedTxt"/>
              <w:rPr>
                <w:sz w:val="20"/>
              </w:rPr>
            </w:pPr>
            <w:r w:rsidRPr="00EF312A">
              <w:rPr>
                <w:sz w:val="20"/>
              </w:rPr>
              <w:t>200 000 € HT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30DEF" w:rsidRPr="00EF312A" w:rsidRDefault="0055443B" w:rsidP="00330DEF">
            <w:pPr>
              <w:pStyle w:val="RedTxt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330DEF" w:rsidRPr="00EF312A">
              <w:rPr>
                <w:sz w:val="20"/>
              </w:rPr>
              <w:t>800 000 € HT</w:t>
            </w:r>
          </w:p>
        </w:tc>
      </w:tr>
    </w:tbl>
    <w:p w:rsidR="00330DEF" w:rsidRPr="00EF312A" w:rsidRDefault="00330DEF" w:rsidP="009C711D">
      <w:pPr>
        <w:pStyle w:val="RedTxt"/>
        <w:jc w:val="both"/>
        <w:rPr>
          <w:sz w:val="20"/>
        </w:rPr>
      </w:pPr>
    </w:p>
    <w:p w:rsidR="00330DEF" w:rsidRDefault="00330DEF" w:rsidP="009C711D">
      <w:pPr>
        <w:pStyle w:val="RedTxt"/>
        <w:tabs>
          <w:tab w:val="left" w:pos="2925"/>
        </w:tabs>
        <w:jc w:val="both"/>
        <w:rPr>
          <w:sz w:val="20"/>
        </w:rPr>
      </w:pPr>
      <w:r w:rsidRPr="00EF312A">
        <w:rPr>
          <w:sz w:val="20"/>
        </w:rPr>
        <w:t>Les lots sont mono-attributaire.</w:t>
      </w:r>
      <w:r w:rsidR="00EF312A" w:rsidRPr="00EF312A">
        <w:rPr>
          <w:sz w:val="20"/>
        </w:rPr>
        <w:tab/>
      </w:r>
    </w:p>
    <w:p w:rsidR="00A27A2E" w:rsidRDefault="00A27A2E" w:rsidP="009C711D">
      <w:pPr>
        <w:pStyle w:val="RedTxt"/>
        <w:tabs>
          <w:tab w:val="left" w:pos="2925"/>
        </w:tabs>
        <w:jc w:val="both"/>
        <w:rPr>
          <w:sz w:val="20"/>
        </w:rPr>
      </w:pPr>
    </w:p>
    <w:p w:rsidR="00A27A2E" w:rsidRPr="00EF312A" w:rsidRDefault="00A27A2E" w:rsidP="009C711D">
      <w:pPr>
        <w:pStyle w:val="RedTxt"/>
        <w:tabs>
          <w:tab w:val="left" w:pos="2925"/>
        </w:tabs>
        <w:jc w:val="both"/>
        <w:rPr>
          <w:sz w:val="20"/>
        </w:rPr>
      </w:pPr>
      <w:r w:rsidRPr="00A27A2E">
        <w:rPr>
          <w:sz w:val="20"/>
        </w:rPr>
        <w:t xml:space="preserve">Il est passé à prix unitaires révisables selon les modalités indiquées dans l’article </w:t>
      </w:r>
      <w:r>
        <w:rPr>
          <w:sz w:val="20"/>
        </w:rPr>
        <w:t>4</w:t>
      </w:r>
      <w:r w:rsidRPr="00A27A2E">
        <w:rPr>
          <w:sz w:val="20"/>
        </w:rPr>
        <w:t>.3 du CCAP.</w:t>
      </w:r>
    </w:p>
    <w:p w:rsidR="00EF312A" w:rsidRPr="00EF312A" w:rsidRDefault="00EF312A" w:rsidP="009C711D">
      <w:pPr>
        <w:pStyle w:val="RedTxt"/>
        <w:tabs>
          <w:tab w:val="left" w:pos="2925"/>
        </w:tabs>
        <w:jc w:val="both"/>
        <w:rPr>
          <w:sz w:val="20"/>
        </w:rPr>
      </w:pPr>
    </w:p>
    <w:p w:rsidR="00EF312A" w:rsidRPr="00EF312A" w:rsidRDefault="00EF312A" w:rsidP="009C711D">
      <w:pPr>
        <w:pStyle w:val="RedTxt"/>
        <w:tabs>
          <w:tab w:val="left" w:pos="2925"/>
        </w:tabs>
        <w:jc w:val="both"/>
        <w:rPr>
          <w:sz w:val="20"/>
        </w:rPr>
      </w:pPr>
      <w:r w:rsidRPr="00EF312A">
        <w:rPr>
          <w:sz w:val="20"/>
        </w:rPr>
        <w:t>Les prix sont définis au bordereau des prix unitaires annexé au présent acte d’engagement.</w:t>
      </w:r>
    </w:p>
    <w:p w:rsidR="00EF312A" w:rsidRPr="00EF312A" w:rsidRDefault="00EF312A" w:rsidP="009C711D">
      <w:pPr>
        <w:pStyle w:val="RedTxt"/>
        <w:tabs>
          <w:tab w:val="left" w:pos="2925"/>
        </w:tabs>
        <w:jc w:val="both"/>
        <w:rPr>
          <w:sz w:val="20"/>
        </w:rPr>
      </w:pPr>
    </w:p>
    <w:p w:rsidR="00EF312A" w:rsidRPr="00EF312A" w:rsidRDefault="00EF312A" w:rsidP="009C711D">
      <w:pPr>
        <w:pStyle w:val="RedTxt"/>
        <w:tabs>
          <w:tab w:val="left" w:pos="2925"/>
        </w:tabs>
        <w:jc w:val="both"/>
        <w:rPr>
          <w:sz w:val="20"/>
        </w:rPr>
      </w:pPr>
      <w:r w:rsidRPr="00EF312A">
        <w:rPr>
          <w:sz w:val="20"/>
        </w:rPr>
        <w:t>Les variantes ne sont pas autorisées.</w:t>
      </w:r>
    </w:p>
    <w:p w:rsidR="00330DEF" w:rsidRPr="00330DEF" w:rsidRDefault="00330DEF" w:rsidP="00330DEF">
      <w:pPr>
        <w:pStyle w:val="RedTxt"/>
      </w:pPr>
    </w:p>
    <w:p w:rsidR="00D31C39" w:rsidRDefault="00D31C39">
      <w:pPr>
        <w:pStyle w:val="RedTxt"/>
      </w:pPr>
    </w:p>
    <w:p w:rsidR="008B428D" w:rsidRDefault="00DF780B">
      <w:pPr>
        <w:pStyle w:val="Titre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FFFFFF"/>
      </w:pPr>
      <w:r>
        <w:t>E</w:t>
      </w:r>
      <w:r w:rsidR="008B428D">
        <w:t>- Durée de l'accord-cadre</w:t>
      </w:r>
    </w:p>
    <w:bookmarkEnd w:id="7"/>
    <w:bookmarkEnd w:id="8"/>
    <w:p w:rsidR="00EF312A" w:rsidRDefault="00EF312A" w:rsidP="009C711D">
      <w:pPr>
        <w:pStyle w:val="RedTxt"/>
        <w:jc w:val="both"/>
      </w:pPr>
    </w:p>
    <w:p w:rsidR="00EF312A" w:rsidRPr="00EF312A" w:rsidRDefault="00EF312A" w:rsidP="009C711D">
      <w:pPr>
        <w:pStyle w:val="RedTxt"/>
        <w:jc w:val="both"/>
        <w:rPr>
          <w:sz w:val="20"/>
        </w:rPr>
      </w:pPr>
      <w:r w:rsidRPr="00EF312A">
        <w:rPr>
          <w:sz w:val="20"/>
        </w:rPr>
        <w:t>L’accord-cadre est passé pour une première période ferme de 12 mois à compter de la date de réception de la notification par le titulaire. Celui-ci est reconductible tacitement 3 fois et pour une durée maximale (période initiale et reconductions successives) de 48 mois.</w:t>
      </w:r>
    </w:p>
    <w:p w:rsidR="00EF312A" w:rsidRPr="00EF312A" w:rsidRDefault="00EF312A" w:rsidP="009C711D">
      <w:pPr>
        <w:pStyle w:val="RedTxt"/>
        <w:jc w:val="both"/>
        <w:rPr>
          <w:sz w:val="20"/>
        </w:rPr>
      </w:pPr>
    </w:p>
    <w:p w:rsidR="00EF312A" w:rsidRPr="00EF312A" w:rsidRDefault="00EF312A" w:rsidP="009C711D">
      <w:pPr>
        <w:pStyle w:val="RedTxt"/>
        <w:jc w:val="both"/>
        <w:rPr>
          <w:sz w:val="20"/>
        </w:rPr>
      </w:pPr>
      <w:r w:rsidRPr="00EF312A">
        <w:rPr>
          <w:sz w:val="20"/>
        </w:rPr>
        <w:t xml:space="preserve">Le titulaire de l’accord-cadre ne pourra pas refuser la reconduction en vertu des dispositions de l’article R2112-4 du Code de la commande publique. </w:t>
      </w:r>
    </w:p>
    <w:p w:rsidR="00EF312A" w:rsidRPr="00EF312A" w:rsidRDefault="00EF312A" w:rsidP="009C711D">
      <w:pPr>
        <w:pStyle w:val="RedTxt"/>
        <w:jc w:val="both"/>
        <w:rPr>
          <w:sz w:val="20"/>
        </w:rPr>
      </w:pPr>
    </w:p>
    <w:p w:rsidR="00DF780B" w:rsidRPr="00EF312A" w:rsidRDefault="00EF312A" w:rsidP="009C711D">
      <w:pPr>
        <w:pStyle w:val="RedTxt"/>
        <w:jc w:val="both"/>
        <w:rPr>
          <w:sz w:val="20"/>
        </w:rPr>
      </w:pPr>
      <w:r w:rsidRPr="00EF312A">
        <w:rPr>
          <w:sz w:val="20"/>
        </w:rPr>
        <w:t>Le CHU Amiens Picardie se réserve le droit de ne pas reconduire l’accord-cadre. En cas de non reconduction de l’accord-cadre, une lettre recommandée sera adressée par tout moyen attestant de la date et de l’heure de réception au plus tard 2 mois avant la fin de la période considérée (la date d’anniversaire de la réception de la notification par le titulaire de l’accord-cadre.)</w:t>
      </w:r>
    </w:p>
    <w:p w:rsidR="00EF312A" w:rsidRDefault="00EF312A" w:rsidP="009C711D">
      <w:pPr>
        <w:pStyle w:val="RedTxt"/>
        <w:jc w:val="both"/>
        <w:rPr>
          <w:sz w:val="20"/>
          <w:szCs w:val="20"/>
        </w:rPr>
      </w:pPr>
    </w:p>
    <w:p w:rsidR="00D31C39" w:rsidRDefault="00EF312A" w:rsidP="009C711D">
      <w:pPr>
        <w:pStyle w:val="RedTxt"/>
        <w:jc w:val="both"/>
      </w:pPr>
      <w:r w:rsidRPr="00EF312A">
        <w:rPr>
          <w:sz w:val="20"/>
          <w:szCs w:val="20"/>
        </w:rPr>
        <w:t>L’émission des bons de commande ne peut intervenir que pendant la durée de validité de l’accord-cadre et pour une durée ne pouvant excéder 3 mois.</w:t>
      </w:r>
    </w:p>
    <w:p w:rsidR="008B428D" w:rsidRDefault="008B428D">
      <w:pPr>
        <w:pStyle w:val="RedTxt"/>
      </w:pPr>
    </w:p>
    <w:p w:rsidR="008B428D" w:rsidRDefault="008B428D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FFFFFF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F- Paiement</w:t>
      </w:r>
    </w:p>
    <w:p w:rsidR="008B428D" w:rsidRDefault="008B428D">
      <w:pPr>
        <w:pStyle w:val="RedTxt"/>
      </w:pPr>
    </w:p>
    <w:p w:rsidR="00DF780B" w:rsidRDefault="00DF780B" w:rsidP="00DF780B">
      <w:pPr>
        <w:pStyle w:val="RedTxt"/>
        <w:rPr>
          <w:b/>
          <w:bCs/>
        </w:rPr>
      </w:pPr>
      <w:r>
        <w:rPr>
          <w:b/>
          <w:bCs/>
        </w:rPr>
        <w:t>F1- Désignation du compte à créditer</w:t>
      </w:r>
    </w:p>
    <w:p w:rsidR="00DF780B" w:rsidRDefault="00DF780B" w:rsidP="00DF780B">
      <w:pPr>
        <w:pStyle w:val="RedTxt"/>
      </w:pPr>
    </w:p>
    <w:tbl>
      <w:tblPr>
        <w:tblW w:w="0" w:type="auto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DF780B" w:rsidTr="00EC6338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FFFFFF"/>
          </w:tcPr>
          <w:p w:rsidR="00DF780B" w:rsidRDefault="00DF780B" w:rsidP="00EC6338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FFFFFF"/>
          </w:tcPr>
          <w:p w:rsidR="00DF780B" w:rsidRDefault="00DF780B" w:rsidP="00EC6338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FFFFFF"/>
          </w:tcPr>
          <w:p w:rsidR="00DF780B" w:rsidRDefault="00DF780B" w:rsidP="00EC6338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FFFFFF"/>
          </w:tcPr>
          <w:p w:rsidR="00DF780B" w:rsidRDefault="00DF780B" w:rsidP="00EC6338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FFFFFF"/>
          </w:tcPr>
          <w:p w:rsidR="00DF780B" w:rsidRDefault="00DF780B" w:rsidP="00EC6338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FFFFFF"/>
          </w:tcPr>
          <w:p w:rsidR="00DF780B" w:rsidRDefault="00DF780B" w:rsidP="00EC6338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FFFFFF"/>
          </w:tcPr>
          <w:p w:rsidR="00DF780B" w:rsidRDefault="00EF312A" w:rsidP="00EC6338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Clé</w:t>
            </w:r>
          </w:p>
        </w:tc>
      </w:tr>
      <w:tr w:rsidR="00DF780B" w:rsidTr="00EC6338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DF780B" w:rsidRDefault="00DF780B" w:rsidP="00EC6338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701" w:type="dxa"/>
          </w:tcPr>
          <w:p w:rsidR="00DF780B" w:rsidRDefault="00DF780B" w:rsidP="00EC6338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……………………</w:t>
            </w:r>
            <w:r>
              <w:fldChar w:fldCharType="end"/>
            </w:r>
          </w:p>
        </w:tc>
        <w:tc>
          <w:tcPr>
            <w:tcW w:w="1130" w:type="dxa"/>
          </w:tcPr>
          <w:p w:rsidR="00DF780B" w:rsidRDefault="00DF780B" w:rsidP="00EC6338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:rsidR="00DF780B" w:rsidRDefault="00DF780B" w:rsidP="00EC6338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:rsidR="00DF780B" w:rsidRDefault="00DF780B" w:rsidP="00EC6338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3" w:type="dxa"/>
          </w:tcPr>
          <w:p w:rsidR="00DF780B" w:rsidRDefault="00DF780B" w:rsidP="00EC6338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698" w:type="dxa"/>
          </w:tcPr>
          <w:p w:rsidR="00DF780B" w:rsidRDefault="00DF780B" w:rsidP="00EC6338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….</w:t>
            </w:r>
            <w:r>
              <w:fldChar w:fldCharType="end"/>
            </w:r>
          </w:p>
        </w:tc>
      </w:tr>
    </w:tbl>
    <w:p w:rsidR="00DF780B" w:rsidRDefault="00DF780B" w:rsidP="00DF780B">
      <w:pPr>
        <w:pStyle w:val="RedTxt"/>
      </w:pPr>
    </w:p>
    <w:p w:rsidR="00DF780B" w:rsidRDefault="00DF780B" w:rsidP="00DF780B">
      <w:pPr>
        <w:pStyle w:val="RedTxt"/>
      </w:pPr>
    </w:p>
    <w:p w:rsidR="00DF780B" w:rsidRDefault="00DF780B" w:rsidP="00DF780B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:rsidR="00DF780B" w:rsidRDefault="00DF780B" w:rsidP="00DF780B">
      <w:pPr>
        <w:pStyle w:val="RedTxt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4518"/>
        <w:gridCol w:w="1683"/>
        <w:gridCol w:w="2693"/>
      </w:tblGrid>
      <w:tr w:rsidR="00441E61" w:rsidTr="00E02D9F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1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41E61" w:rsidRDefault="00441E61" w:rsidP="00333B2E">
            <w:pPr>
              <w:pStyle w:val="Commentaire"/>
              <w:ind w:left="-212" w:right="-70" w:firstLine="284"/>
              <w:rPr>
                <w:rFonts w:ascii="Arial" w:hAnsi="Arial" w:cs="Arial"/>
                <w:sz w:val="18"/>
                <w:szCs w:val="18"/>
              </w:rPr>
            </w:pPr>
          </w:p>
        </w:tc>
        <w:bookmarkStart w:id="15" w:name="CaseACocher109"/>
        <w:tc>
          <w:tcPr>
            <w:tcW w:w="451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1E61" w:rsidRDefault="001128D0" w:rsidP="001128D0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  <w:r>
              <w:rPr>
                <w:rFonts w:ascii="Arial" w:hAnsi="Arial" w:cs="Arial"/>
                <w:sz w:val="18"/>
                <w:szCs w:val="18"/>
              </w:rPr>
              <w:t xml:space="preserve"> Accepte l’avance (5%)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E02D9F">
              <w:rPr>
                <w:rFonts w:ascii="Arial" w:hAnsi="Arial" w:cs="Arial"/>
                <w:sz w:val="18"/>
                <w:szCs w:val="18"/>
              </w:rPr>
              <w:t>si le montant initial du bon de commande est supérieur à 50 000€ HT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41E61" w:rsidRDefault="00441E61" w:rsidP="00E86374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</w:p>
        </w:tc>
        <w:bookmarkStart w:id="16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41E61" w:rsidRDefault="00441E61" w:rsidP="00333B2E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  <w:r>
              <w:rPr>
                <w:rFonts w:ascii="Arial" w:hAnsi="Arial" w:cs="Arial"/>
                <w:sz w:val="18"/>
                <w:szCs w:val="18"/>
              </w:rPr>
              <w:t xml:space="preserve"> Refuse l’avance</w:t>
            </w:r>
          </w:p>
        </w:tc>
      </w:tr>
    </w:tbl>
    <w:p w:rsidR="008B428D" w:rsidRDefault="008B428D">
      <w:pPr>
        <w:pStyle w:val="RedTxt"/>
      </w:pPr>
    </w:p>
    <w:p w:rsidR="008B428D" w:rsidRDefault="008B428D">
      <w:pPr>
        <w:pStyle w:val="RedTxt"/>
      </w:pPr>
    </w:p>
    <w:p w:rsidR="008B428D" w:rsidRDefault="008B428D">
      <w:pPr>
        <w:pStyle w:val="RedTxt"/>
      </w:pPr>
    </w:p>
    <w:p w:rsidR="008B428D" w:rsidRDefault="008B428D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>
        <w:rPr>
          <w:b/>
          <w:bCs/>
        </w:rPr>
        <w:fldChar w:fldCharType="end"/>
      </w:r>
      <w:r>
        <w:rPr>
          <w:b/>
          <w:bCs/>
        </w:rPr>
        <w:t xml:space="preserve"> , le </w:t>
      </w:r>
      <w:r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>
        <w:rPr>
          <w:b/>
          <w:bCs/>
        </w:rPr>
        <w:fldChar w:fldCharType="end"/>
      </w:r>
    </w:p>
    <w:p w:rsidR="008B428D" w:rsidRDefault="008B428D">
      <w:pPr>
        <w:pStyle w:val="RedTxt"/>
        <w:ind w:firstLine="4536"/>
        <w:rPr>
          <w:b/>
          <w:bCs/>
        </w:rPr>
      </w:pPr>
    </w:p>
    <w:p w:rsidR="008B428D" w:rsidRDefault="008B428D">
      <w:pPr>
        <w:pStyle w:val="RedTxt"/>
        <w:ind w:firstLine="4536"/>
        <w:rPr>
          <w:b/>
          <w:bCs/>
        </w:rPr>
      </w:pPr>
      <w:r>
        <w:rPr>
          <w:b/>
          <w:bCs/>
        </w:rPr>
        <w:t>Signature du (des) prestataire(s) :</w:t>
      </w:r>
    </w:p>
    <w:bookmarkEnd w:id="9"/>
    <w:bookmarkEnd w:id="10"/>
    <w:p w:rsidR="008B428D" w:rsidRDefault="008B428D">
      <w:pPr>
        <w:pStyle w:val="RedTxt"/>
        <w:rPr>
          <w:b/>
          <w:bCs/>
          <w:sz w:val="22"/>
          <w:szCs w:val="22"/>
        </w:rPr>
      </w:pPr>
    </w:p>
    <w:sectPr w:rsidR="008B428D">
      <w:type w:val="continuous"/>
      <w:pgSz w:w="11906" w:h="16838"/>
      <w:pgMar w:top="1417" w:right="1417" w:bottom="1417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C55" w:rsidRDefault="00542C55">
      <w:r>
        <w:separator/>
      </w:r>
    </w:p>
  </w:endnote>
  <w:endnote w:type="continuationSeparator" w:id="0">
    <w:p w:rsidR="00542C55" w:rsidRDefault="0054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ime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C55" w:rsidRDefault="00542C55">
      <w:r>
        <w:separator/>
      </w:r>
    </w:p>
  </w:footnote>
  <w:footnote w:type="continuationSeparator" w:id="0">
    <w:p w:rsidR="00542C55" w:rsidRDefault="00542C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forms" w:formatting="1" w:enforcement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524"/>
    <w:rsid w:val="00001342"/>
    <w:rsid w:val="0005370F"/>
    <w:rsid w:val="00071636"/>
    <w:rsid w:val="00091BBA"/>
    <w:rsid w:val="000D1936"/>
    <w:rsid w:val="001045D0"/>
    <w:rsid w:val="00111EB9"/>
    <w:rsid w:val="001128D0"/>
    <w:rsid w:val="00115466"/>
    <w:rsid w:val="00122A99"/>
    <w:rsid w:val="0012372D"/>
    <w:rsid w:val="00124579"/>
    <w:rsid w:val="001270A3"/>
    <w:rsid w:val="00137012"/>
    <w:rsid w:val="00160C00"/>
    <w:rsid w:val="001665CC"/>
    <w:rsid w:val="001741D6"/>
    <w:rsid w:val="00193B43"/>
    <w:rsid w:val="001C52F4"/>
    <w:rsid w:val="002048CA"/>
    <w:rsid w:val="00212CC7"/>
    <w:rsid w:val="00234E5F"/>
    <w:rsid w:val="00240D1E"/>
    <w:rsid w:val="00286882"/>
    <w:rsid w:val="00294CC7"/>
    <w:rsid w:val="00296160"/>
    <w:rsid w:val="002D7CEF"/>
    <w:rsid w:val="002F1B20"/>
    <w:rsid w:val="002F26F9"/>
    <w:rsid w:val="00321F7F"/>
    <w:rsid w:val="00330DEF"/>
    <w:rsid w:val="00333B2E"/>
    <w:rsid w:val="00343295"/>
    <w:rsid w:val="00364C13"/>
    <w:rsid w:val="003729BB"/>
    <w:rsid w:val="00375BF0"/>
    <w:rsid w:val="00382655"/>
    <w:rsid w:val="00396174"/>
    <w:rsid w:val="003E6D0C"/>
    <w:rsid w:val="00400B58"/>
    <w:rsid w:val="00411DD1"/>
    <w:rsid w:val="00433E5F"/>
    <w:rsid w:val="00441E61"/>
    <w:rsid w:val="00483DD9"/>
    <w:rsid w:val="004A3237"/>
    <w:rsid w:val="004A405B"/>
    <w:rsid w:val="004B463C"/>
    <w:rsid w:val="004C0CC7"/>
    <w:rsid w:val="004D3994"/>
    <w:rsid w:val="004F6A4B"/>
    <w:rsid w:val="00500334"/>
    <w:rsid w:val="00535E07"/>
    <w:rsid w:val="00542C55"/>
    <w:rsid w:val="0055443B"/>
    <w:rsid w:val="0056324E"/>
    <w:rsid w:val="005B16E6"/>
    <w:rsid w:val="005C0549"/>
    <w:rsid w:val="00633149"/>
    <w:rsid w:val="0064024A"/>
    <w:rsid w:val="00641A7F"/>
    <w:rsid w:val="006515AD"/>
    <w:rsid w:val="006B4FFE"/>
    <w:rsid w:val="006D6E6D"/>
    <w:rsid w:val="006E60D4"/>
    <w:rsid w:val="00705B4C"/>
    <w:rsid w:val="007C7EEF"/>
    <w:rsid w:val="007D14A1"/>
    <w:rsid w:val="007F34FA"/>
    <w:rsid w:val="00816798"/>
    <w:rsid w:val="00850524"/>
    <w:rsid w:val="008923F5"/>
    <w:rsid w:val="008B428D"/>
    <w:rsid w:val="00954C40"/>
    <w:rsid w:val="009555BD"/>
    <w:rsid w:val="00956E1A"/>
    <w:rsid w:val="009867E0"/>
    <w:rsid w:val="009B1754"/>
    <w:rsid w:val="009B738B"/>
    <w:rsid w:val="009C3C8D"/>
    <w:rsid w:val="009C711D"/>
    <w:rsid w:val="009E002F"/>
    <w:rsid w:val="009F1CD1"/>
    <w:rsid w:val="00A02B28"/>
    <w:rsid w:val="00A27A2E"/>
    <w:rsid w:val="00A5268C"/>
    <w:rsid w:val="00A53FD0"/>
    <w:rsid w:val="00A57195"/>
    <w:rsid w:val="00A6013D"/>
    <w:rsid w:val="00A93B46"/>
    <w:rsid w:val="00AA0563"/>
    <w:rsid w:val="00B1084B"/>
    <w:rsid w:val="00B12C9D"/>
    <w:rsid w:val="00B35965"/>
    <w:rsid w:val="00B43CAD"/>
    <w:rsid w:val="00B73D63"/>
    <w:rsid w:val="00B908DB"/>
    <w:rsid w:val="00BA38FB"/>
    <w:rsid w:val="00BD3B1C"/>
    <w:rsid w:val="00BE259A"/>
    <w:rsid w:val="00C13C19"/>
    <w:rsid w:val="00C13C29"/>
    <w:rsid w:val="00C30874"/>
    <w:rsid w:val="00C5275D"/>
    <w:rsid w:val="00C6562A"/>
    <w:rsid w:val="00C910E2"/>
    <w:rsid w:val="00CA583A"/>
    <w:rsid w:val="00CC0F73"/>
    <w:rsid w:val="00CF160C"/>
    <w:rsid w:val="00CF354E"/>
    <w:rsid w:val="00CF6F58"/>
    <w:rsid w:val="00D31C39"/>
    <w:rsid w:val="00D81BBE"/>
    <w:rsid w:val="00D91BA8"/>
    <w:rsid w:val="00DE7D1A"/>
    <w:rsid w:val="00DF780B"/>
    <w:rsid w:val="00E02D9F"/>
    <w:rsid w:val="00E23F27"/>
    <w:rsid w:val="00E24865"/>
    <w:rsid w:val="00E24E7C"/>
    <w:rsid w:val="00E854CF"/>
    <w:rsid w:val="00E86374"/>
    <w:rsid w:val="00E95D7D"/>
    <w:rsid w:val="00E97AE3"/>
    <w:rsid w:val="00EC6338"/>
    <w:rsid w:val="00EC6F30"/>
    <w:rsid w:val="00EC7AFD"/>
    <w:rsid w:val="00ED7159"/>
    <w:rsid w:val="00EE09AF"/>
    <w:rsid w:val="00EF312A"/>
    <w:rsid w:val="00EF6BBA"/>
    <w:rsid w:val="00F25EE1"/>
    <w:rsid w:val="00F46728"/>
    <w:rsid w:val="00F67D78"/>
    <w:rsid w:val="00F70518"/>
    <w:rsid w:val="00F80968"/>
    <w:rsid w:val="00FC23AF"/>
    <w:rsid w:val="00FD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A642E7-730D-4829-B18C-2E8CEFA9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/>
      <w:shd w:val="clear" w:color="auto" w:fill="FFFFFF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keepLines w:val="0"/>
      <w:widowControl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9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Pr>
      <w:rFonts w:ascii="Cambria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locked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uiPriority w:val="9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uiPriority w:val="99"/>
    <w:rPr>
      <w:rFonts w:ascii="Arial" w:hAnsi="Arial" w:cs="Arial"/>
      <w:sz w:val="18"/>
      <w:szCs w:val="18"/>
    </w:rPr>
  </w:style>
  <w:style w:type="character" w:styleId="Numrodepage">
    <w:name w:val="page number"/>
    <w:basedOn w:val="Policepardfaut"/>
    <w:uiPriority w:val="99"/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pPr>
      <w:keepLines w:val="0"/>
      <w:widowControl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locked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CarCarCar1CarCarCarCarCar">
    <w:name w:val="Car Car Car1 Car Car Car Car Car"/>
    <w:basedOn w:val="Normal"/>
    <w:rsid w:val="00C13C19"/>
    <w:pPr>
      <w:keepLines w:val="0"/>
      <w:widowControl/>
      <w:autoSpaceDE/>
      <w:autoSpaceDN/>
      <w:adjustRightInd/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ction.achats-ght@chu-amiens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67C65-3599-489E-B5A7-C4DE43AFE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1926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Raphaël RAUX</dc:creator>
  <cp:keywords/>
  <dc:description/>
  <cp:lastModifiedBy>Roy Aurelie</cp:lastModifiedBy>
  <cp:revision>2</cp:revision>
  <cp:lastPrinted>2020-02-26T10:20:00Z</cp:lastPrinted>
  <dcterms:created xsi:type="dcterms:W3CDTF">2025-05-23T06:39:00Z</dcterms:created>
  <dcterms:modified xsi:type="dcterms:W3CDTF">2025-05-23T06:39:00Z</dcterms:modified>
</cp:coreProperties>
</file>